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48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Сапоги ЭВА с утеплителем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7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ПАСПОРТ 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